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sidR="000A2C26">
        <w:rPr>
          <w:rFonts w:ascii="Times New Roman" w:eastAsia="Times New Roman" w:hAnsi="Times New Roman"/>
          <w:sz w:val="24"/>
          <w:szCs w:val="24"/>
          <w:lang w:eastAsia="lv-LV"/>
        </w:rPr>
        <w:t>30.1</w:t>
      </w:r>
      <w:r>
        <w:rPr>
          <w:rFonts w:ascii="Times New Roman" w:eastAsia="Times New Roman" w:hAnsi="Times New Roman"/>
          <w:sz w:val="24"/>
          <w:szCs w:val="24"/>
          <w:lang w:eastAsia="lv-LV"/>
        </w:rPr>
        <w:t>2.2020.</w:t>
      </w:r>
      <w:r w:rsidRPr="00573252">
        <w:rPr>
          <w:rFonts w:ascii="Times New Roman" w:eastAsia="Times New Roman" w:hAnsi="Times New Roman"/>
          <w:sz w:val="24"/>
          <w:szCs w:val="24"/>
          <w:lang w:eastAsia="lv-LV"/>
        </w:rPr>
        <w:t xml:space="preserve"> sēdes lēmumu Nr.</w:t>
      </w:r>
      <w:r w:rsidR="00852CC8">
        <w:rPr>
          <w:rFonts w:ascii="Times New Roman" w:eastAsia="Times New Roman" w:hAnsi="Times New Roman"/>
          <w:sz w:val="24"/>
          <w:szCs w:val="24"/>
          <w:lang w:eastAsia="lv-LV"/>
        </w:rPr>
        <w:t>864</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852CC8">
        <w:rPr>
          <w:rFonts w:ascii="Times New Roman" w:eastAsia="Times New Roman" w:hAnsi="Times New Roman"/>
          <w:sz w:val="24"/>
          <w:szCs w:val="24"/>
          <w:lang w:eastAsia="lv-LV"/>
        </w:rPr>
        <w:t>16</w:t>
      </w:r>
      <w:r>
        <w:rPr>
          <w:rFonts w:ascii="Times New Roman" w:eastAsia="Times New Roman" w:hAnsi="Times New Roman"/>
          <w:sz w:val="24"/>
          <w:szCs w:val="24"/>
          <w:lang w:eastAsia="lv-LV"/>
        </w:rPr>
        <w:t xml:space="preserve">, </w:t>
      </w:r>
      <w:r w:rsidR="00852CC8">
        <w:rPr>
          <w:rFonts w:ascii="Times New Roman" w:eastAsia="Times New Roman" w:hAnsi="Times New Roman"/>
          <w:sz w:val="24"/>
          <w:szCs w:val="24"/>
          <w:lang w:eastAsia="lv-LV"/>
        </w:rPr>
        <w:t>58</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0A2C26" w:rsidRPr="000A2C26" w:rsidRDefault="000A2C26" w:rsidP="00E23A78">
      <w:pPr>
        <w:spacing w:after="0" w:line="240" w:lineRule="auto"/>
        <w:jc w:val="center"/>
        <w:rPr>
          <w:rFonts w:ascii="Times New Roman" w:eastAsia="Times New Roman" w:hAnsi="Times New Roman"/>
          <w:b/>
          <w:sz w:val="24"/>
          <w:szCs w:val="24"/>
          <w:lang w:eastAsia="lv-LV"/>
        </w:rPr>
      </w:pPr>
      <w:r w:rsidRPr="000A2C26">
        <w:rPr>
          <w:rFonts w:ascii="Times New Roman" w:hAnsi="Times New Roman" w:cs="Times New Roman"/>
          <w:b/>
        </w:rPr>
        <w:t>kases aparāta CHD 3050</w:t>
      </w:r>
      <w:r w:rsidR="009A023E">
        <w:rPr>
          <w:rFonts w:ascii="Times New Roman" w:hAnsi="Times New Roman" w:cs="Times New Roman"/>
          <w:b/>
        </w:rPr>
        <w:t xml:space="preserve"> EKA</w:t>
      </w:r>
      <w:r w:rsidRPr="000A2C26">
        <w:rPr>
          <w:rFonts w:ascii="Times New Roman" w:hAnsi="Times New Roman" w:cs="Times New Roman"/>
          <w:b/>
        </w:rPr>
        <w:t xml:space="preserve"> ar naud</w:t>
      </w:r>
      <w:r w:rsidR="007C28F1">
        <w:rPr>
          <w:rFonts w:ascii="Times New Roman" w:hAnsi="Times New Roman" w:cs="Times New Roman"/>
          <w:b/>
        </w:rPr>
        <w:t>as lādi</w:t>
      </w:r>
      <w:r w:rsidR="009A023E">
        <w:rPr>
          <w:rFonts w:ascii="Times New Roman" w:hAnsi="Times New Roman" w:cs="Times New Roman"/>
          <w:b/>
        </w:rPr>
        <w:t xml:space="preserve"> LGS-C</w:t>
      </w:r>
      <w:r w:rsidR="00341EAD">
        <w:rPr>
          <w:rFonts w:ascii="Times New Roman" w:hAnsi="Times New Roman" w:cs="Times New Roman"/>
          <w:b/>
        </w:rPr>
        <w:t>HD 3000, inventāra Nr. 1239-8647</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Kustamās mantas</w:t>
      </w:r>
      <w:r w:rsidR="00E87447">
        <w:rPr>
          <w:rFonts w:ascii="Times New Roman" w:eastAsia="Times New Roman" w:hAnsi="Times New Roman"/>
          <w:sz w:val="24"/>
          <w:szCs w:val="24"/>
          <w:lang w:eastAsia="lv-LV"/>
        </w:rPr>
        <w:t xml:space="preserve">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Kases aparāts CHD 3050</w:t>
      </w:r>
      <w:r w:rsidR="009A023E">
        <w:rPr>
          <w:rFonts w:ascii="Times New Roman" w:eastAsia="Times New Roman" w:hAnsi="Times New Roman"/>
          <w:sz w:val="24"/>
          <w:szCs w:val="24"/>
          <w:lang w:eastAsia="lv-LV"/>
        </w:rPr>
        <w:t xml:space="preserve"> EKA</w:t>
      </w:r>
      <w:r w:rsidR="000A2C26">
        <w:rPr>
          <w:rFonts w:ascii="Times New Roman" w:eastAsia="Times New Roman" w:hAnsi="Times New Roman"/>
          <w:sz w:val="24"/>
          <w:szCs w:val="24"/>
          <w:lang w:eastAsia="lv-LV"/>
        </w:rPr>
        <w:t xml:space="preserve"> ar naudas lādi</w:t>
      </w:r>
      <w:r w:rsidR="009A023E">
        <w:rPr>
          <w:rFonts w:ascii="Times New Roman" w:eastAsia="Times New Roman" w:hAnsi="Times New Roman"/>
          <w:sz w:val="24"/>
          <w:szCs w:val="24"/>
          <w:lang w:eastAsia="lv-LV"/>
        </w:rPr>
        <w:t xml:space="preserve"> LGS-CHD 3000</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0A2C26">
        <w:rPr>
          <w:rFonts w:ascii="Times New Roman" w:eastAsia="Times New Roman" w:hAnsi="Times New Roman"/>
          <w:sz w:val="24"/>
          <w:szCs w:val="24"/>
          <w:lang w:eastAsia="lv-LV"/>
        </w:rPr>
        <w:t xml:space="preserve">. </w:t>
      </w:r>
      <w:r w:rsidR="00B664EC">
        <w:rPr>
          <w:rFonts w:ascii="Times New Roman" w:eastAsia="Times New Roman" w:hAnsi="Times New Roman"/>
          <w:sz w:val="24"/>
          <w:szCs w:val="24"/>
          <w:lang w:eastAsia="lv-LV"/>
        </w:rPr>
        <w:t>Jāveic programmatūras atjaunošana</w:t>
      </w:r>
      <w:r w:rsidR="000A2C26">
        <w:rPr>
          <w:rFonts w:ascii="Times New Roman" w:eastAsia="Times New Roman" w:hAnsi="Times New Roman"/>
          <w:sz w:val="24"/>
          <w:szCs w:val="24"/>
          <w:lang w:eastAsia="lv-LV"/>
        </w:rPr>
        <w:t>.</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B664EC">
        <w:rPr>
          <w:rFonts w:ascii="Times New Roman" w:hAnsi="Times New Roman"/>
          <w:b/>
          <w:sz w:val="24"/>
          <w:szCs w:val="24"/>
        </w:rPr>
        <w:t>120</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B664EC">
        <w:rPr>
          <w:rFonts w:ascii="Times New Roman" w:hAnsi="Times New Roman"/>
          <w:bCs/>
          <w:sz w:val="24"/>
          <w:szCs w:val="24"/>
        </w:rPr>
        <w:t>(viens simts divdesmit</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w:t>
      </w:r>
      <w:r w:rsidRPr="00B664EC">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B664EC">
        <w:rPr>
          <w:rFonts w:ascii="Times New Roman" w:hAnsi="Times New Roman"/>
          <w:b/>
          <w:sz w:val="24"/>
          <w:szCs w:val="24"/>
          <w:lang w:eastAsia="lv-LV"/>
        </w:rPr>
        <w:t>12,0</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B664EC">
        <w:rPr>
          <w:rFonts w:ascii="Times New Roman" w:hAnsi="Times New Roman"/>
          <w:sz w:val="24"/>
          <w:szCs w:val="24"/>
          <w:lang w:eastAsia="lv-LV"/>
        </w:rPr>
        <w:t xml:space="preserve">divpadsmit </w:t>
      </w:r>
      <w:r w:rsidRPr="00717F89">
        <w:rPr>
          <w:rFonts w:ascii="Times New Roman" w:hAnsi="Times New Roman"/>
          <w:i/>
          <w:sz w:val="24"/>
          <w:szCs w:val="24"/>
          <w:lang w:eastAsia="lv-LV"/>
        </w:rPr>
        <w:t xml:space="preserve">euro </w:t>
      </w:r>
      <w:r w:rsidR="00B664EC">
        <w:rPr>
          <w:rFonts w:ascii="Times New Roman" w:hAnsi="Times New Roman"/>
          <w:sz w:val="24"/>
          <w:szCs w:val="24"/>
          <w:lang w:eastAsia="lv-LV"/>
        </w:rPr>
        <w:t>un 0</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sidR="00F16446">
        <w:rPr>
          <w:rFonts w:ascii="Times New Roman" w:hAnsi="Times New Roman"/>
          <w:b/>
          <w:sz w:val="24"/>
          <w:szCs w:val="24"/>
          <w:lang w:eastAsia="lv-LV"/>
        </w:rPr>
        <w:t>eģistrācija tiek pārtraukta 2021</w:t>
      </w:r>
      <w:r>
        <w:rPr>
          <w:rFonts w:ascii="Times New Roman" w:hAnsi="Times New Roman"/>
          <w:b/>
          <w:sz w:val="24"/>
          <w:szCs w:val="24"/>
          <w:lang w:eastAsia="lv-LV"/>
        </w:rPr>
        <w:t>. </w:t>
      </w:r>
      <w:r w:rsidRPr="00B4006F">
        <w:rPr>
          <w:rFonts w:ascii="Times New Roman" w:hAnsi="Times New Roman"/>
          <w:b/>
          <w:sz w:val="24"/>
          <w:szCs w:val="24"/>
          <w:lang w:eastAsia="lv-LV"/>
        </w:rPr>
        <w:t xml:space="preserve">gada </w:t>
      </w:r>
      <w:r w:rsidR="00B664EC">
        <w:rPr>
          <w:rFonts w:ascii="Times New Roman" w:hAnsi="Times New Roman"/>
          <w:b/>
          <w:sz w:val="24"/>
          <w:szCs w:val="24"/>
          <w:lang w:eastAsia="lv-LV"/>
        </w:rPr>
        <w:t>08. februārī</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 xml:space="preserve">.00. (piektdienās līdz plkst. 15.30)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F16446">
        <w:rPr>
          <w:rFonts w:ascii="Times New Roman" w:hAnsi="Times New Roman"/>
          <w:b/>
          <w:sz w:val="24"/>
          <w:szCs w:val="24"/>
          <w:lang w:eastAsia="lv-LV"/>
        </w:rPr>
        <w:t>2021. gada 10. februārī</w:t>
      </w:r>
      <w:r>
        <w:rPr>
          <w:rFonts w:ascii="Times New Roman" w:hAnsi="Times New Roman"/>
          <w:b/>
          <w:sz w:val="24"/>
          <w:szCs w:val="24"/>
          <w:lang w:eastAsia="lv-LV"/>
        </w:rPr>
        <w:t xml:space="preserve"> plkst. </w:t>
      </w:r>
      <w:r w:rsidR="00341EAD">
        <w:rPr>
          <w:rFonts w:ascii="Times New Roman" w:hAnsi="Times New Roman"/>
          <w:b/>
          <w:sz w:val="24"/>
          <w:szCs w:val="24"/>
          <w:lang w:eastAsia="lv-LV"/>
        </w:rPr>
        <w:t>11.2</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w:t>
      </w:r>
      <w:r w:rsidR="00DD77B8">
        <w:rPr>
          <w:rFonts w:ascii="Times New Roman" w:hAnsi="Times New Roman"/>
          <w:sz w:val="24"/>
          <w:szCs w:val="24"/>
          <w:lang w:eastAsia="lv-LV"/>
        </w:rPr>
        <w:t>osauc izsolāmā objekta</w:t>
      </w:r>
      <w:r w:rsidRPr="00573252">
        <w:rPr>
          <w:rFonts w:ascii="Times New Roman" w:hAnsi="Times New Roman"/>
          <w:sz w:val="24"/>
          <w:szCs w:val="24"/>
          <w:lang w:eastAsia="lv-LV"/>
        </w:rPr>
        <w:t xml:space="preserve">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704441" w:rsidRDefault="00704441" w:rsidP="00E23A78">
      <w:pPr>
        <w:spacing w:after="0" w:line="240" w:lineRule="auto"/>
        <w:ind w:left="720"/>
        <w:contextualSpacing/>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lastRenderedPageBreak/>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0"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F16446" w:rsidRDefault="00F16446"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23A78" w:rsidRPr="00EE48D1" w:rsidRDefault="00F16446"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sidR="009A023E">
        <w:rPr>
          <w:rFonts w:ascii="Times New Roman" w:hAnsi="Times New Roman" w:cs="Times New Roman"/>
          <w:i/>
          <w:sz w:val="20"/>
          <w:szCs w:val="20"/>
        </w:rPr>
        <w:t xml:space="preserve"> EKA</w:t>
      </w:r>
      <w:r>
        <w:rPr>
          <w:rFonts w:ascii="Times New Roman" w:hAnsi="Times New Roman" w:cs="Times New Roman"/>
          <w:i/>
          <w:sz w:val="20"/>
          <w:szCs w:val="20"/>
        </w:rPr>
        <w:t>,</w:t>
      </w:r>
      <w:r w:rsidR="00EE48D1">
        <w:rPr>
          <w:rFonts w:ascii="Times New Roman" w:hAnsi="Times New Roman" w:cs="Times New Roman"/>
          <w:i/>
          <w:sz w:val="20"/>
          <w:szCs w:val="20"/>
        </w:rPr>
        <w:t xml:space="preserve"> </w:t>
      </w:r>
      <w:r w:rsidR="00341EAD">
        <w:rPr>
          <w:rFonts w:ascii="Times New Roman" w:hAnsi="Times New Roman" w:cs="Times New Roman"/>
          <w:i/>
          <w:sz w:val="20"/>
          <w:szCs w:val="20"/>
        </w:rPr>
        <w:t>inventāra Nr. 1239-8647</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00E23A78" w:rsidRPr="00F16446">
        <w:rPr>
          <w:rFonts w:ascii="Times New Roman" w:eastAsia="Times New Roman" w:hAnsi="Times New Roman"/>
          <w:i/>
          <w:sz w:val="20"/>
          <w:szCs w:val="20"/>
          <w:lang w:eastAsia="lv-LV"/>
        </w:rPr>
        <w:t xml:space="preserve">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0"/>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E48D1"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sidR="009A023E">
        <w:rPr>
          <w:rFonts w:ascii="Times New Roman" w:hAnsi="Times New Roman" w:cs="Times New Roman"/>
          <w:i/>
          <w:sz w:val="20"/>
          <w:szCs w:val="20"/>
        </w:rPr>
        <w:t xml:space="preserve"> EKA</w:t>
      </w:r>
      <w:r>
        <w:rPr>
          <w:rFonts w:ascii="Times New Roman" w:hAnsi="Times New Roman" w:cs="Times New Roman"/>
          <w:i/>
          <w:sz w:val="20"/>
          <w:szCs w:val="20"/>
        </w:rPr>
        <w:t xml:space="preserve">, </w:t>
      </w:r>
      <w:r w:rsidR="00341EAD">
        <w:rPr>
          <w:rFonts w:ascii="Times New Roman" w:hAnsi="Times New Roman" w:cs="Times New Roman"/>
          <w:i/>
          <w:sz w:val="20"/>
          <w:szCs w:val="20"/>
        </w:rPr>
        <w:t>inventāra Nr. 1239-8647</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E48D1"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2021</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E48D1">
      <w:pPr>
        <w:spacing w:after="0" w:line="240" w:lineRule="auto"/>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440FA0"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sidR="009A023E">
        <w:rPr>
          <w:rFonts w:ascii="Times New Roman" w:hAnsi="Times New Roman" w:cs="Times New Roman"/>
          <w:i/>
          <w:sz w:val="20"/>
          <w:szCs w:val="20"/>
        </w:rPr>
        <w:t xml:space="preserve"> EKA</w:t>
      </w:r>
      <w:r>
        <w:rPr>
          <w:rFonts w:ascii="Times New Roman" w:hAnsi="Times New Roman" w:cs="Times New Roman"/>
          <w:i/>
          <w:sz w:val="20"/>
          <w:szCs w:val="20"/>
        </w:rPr>
        <w:t xml:space="preserve">, </w:t>
      </w:r>
      <w:r w:rsidR="00CC40DE">
        <w:rPr>
          <w:rFonts w:ascii="Times New Roman" w:hAnsi="Times New Roman" w:cs="Times New Roman"/>
          <w:i/>
          <w:sz w:val="20"/>
          <w:szCs w:val="20"/>
        </w:rPr>
        <w:t>inventāra Nr. 1239-8647</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r w:rsidR="00440FA0"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EE48D1">
        <w:rPr>
          <w:rFonts w:ascii="Times New Roman" w:eastAsia="Times New Roman" w:hAnsi="Times New Roman"/>
          <w:noProof/>
          <w:color w:val="000000"/>
          <w:sz w:val="24"/>
          <w:szCs w:val="24"/>
          <w:lang w:eastAsia="lv-LV"/>
        </w:rPr>
        <w:t>2021</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EE48D1">
        <w:rPr>
          <w:rFonts w:ascii="Times New Roman" w:eastAsia="Times New Roman" w:hAnsi="Times New Roman"/>
          <w:i/>
          <w:noProof/>
          <w:sz w:val="24"/>
          <w:szCs w:val="24"/>
          <w:lang w:eastAsia="lv-LV"/>
        </w:rPr>
        <w:t>2021</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EE48D1">
        <w:rPr>
          <w:rFonts w:ascii="Times New Roman" w:hAnsi="Times New Roman"/>
          <w:noProof/>
          <w:sz w:val="24"/>
          <w:szCs w:val="24"/>
        </w:rPr>
        <w:t xml:space="preserve"> kases aparātu CHD 3050</w:t>
      </w:r>
      <w:r w:rsidR="009A023E">
        <w:rPr>
          <w:rFonts w:ascii="Times New Roman" w:hAnsi="Times New Roman"/>
          <w:noProof/>
          <w:sz w:val="24"/>
          <w:szCs w:val="24"/>
        </w:rPr>
        <w:t xml:space="preserve"> EKA</w:t>
      </w:r>
      <w:r w:rsidR="00EE48D1">
        <w:rPr>
          <w:rFonts w:ascii="Times New Roman" w:hAnsi="Times New Roman"/>
          <w:noProof/>
          <w:sz w:val="24"/>
          <w:szCs w:val="24"/>
        </w:rPr>
        <w:t xml:space="preserve"> ar nauda</w:t>
      </w:r>
      <w:r w:rsidR="00805E03">
        <w:rPr>
          <w:rFonts w:ascii="Times New Roman" w:hAnsi="Times New Roman"/>
          <w:noProof/>
          <w:sz w:val="24"/>
          <w:szCs w:val="24"/>
        </w:rPr>
        <w:t>s</w:t>
      </w:r>
      <w:r w:rsidR="00EE48D1">
        <w:rPr>
          <w:rFonts w:ascii="Times New Roman" w:hAnsi="Times New Roman"/>
          <w:noProof/>
          <w:sz w:val="24"/>
          <w:szCs w:val="24"/>
        </w:rPr>
        <w:t xml:space="preserve"> lādi</w:t>
      </w:r>
      <w:r w:rsidR="009A023E">
        <w:rPr>
          <w:rFonts w:ascii="Times New Roman" w:hAnsi="Times New Roman"/>
          <w:noProof/>
          <w:sz w:val="24"/>
          <w:szCs w:val="24"/>
        </w:rPr>
        <w:t xml:space="preserve"> LGS-CHD 3000</w:t>
      </w:r>
      <w:r w:rsidR="00805E03">
        <w:rPr>
          <w:rFonts w:ascii="Times New Roman" w:eastAsia="Times New Roman" w:hAnsi="Times New Roman"/>
          <w:sz w:val="24"/>
          <w:szCs w:val="24"/>
          <w:lang w:eastAsia="lv-LV"/>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w:t>
      </w:r>
      <w:r w:rsidR="00EE48D1">
        <w:rPr>
          <w:rFonts w:ascii="Times New Roman" w:hAnsi="Times New Roman"/>
          <w:noProof/>
          <w:sz w:val="24"/>
          <w:szCs w:val="24"/>
        </w:rPr>
        <w:t>Kases aparātam jāveic programmatūras atjaunošana.</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Pr="00805E03" w:rsidRDefault="00E23A78" w:rsidP="00937555">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w:t>
      </w:r>
      <w:r w:rsidRPr="00805E03">
        <w:rPr>
          <w:rFonts w:ascii="Times New Roman" w:eastAsia="Times New Roman" w:hAnsi="Times New Roman"/>
          <w:noProof/>
          <w:sz w:val="24"/>
          <w:szCs w:val="24"/>
          <w:lang w:eastAsia="lv-LV"/>
        </w:rPr>
        <w:t xml:space="preserve">Puses vienojas, ka </w:t>
      </w:r>
      <w:r w:rsidRPr="00805E03">
        <w:rPr>
          <w:rFonts w:ascii="Times New Roman" w:eastAsia="Times New Roman" w:hAnsi="Times New Roman"/>
          <w:sz w:val="24"/>
          <w:szCs w:val="24"/>
          <w:lang w:eastAsia="lv-LV"/>
        </w:rPr>
        <w:t>Pircējs ir veicis pilnu šā līguma 2.1.punktā minēto sama</w:t>
      </w:r>
      <w:r w:rsidR="00937555" w:rsidRPr="00805E03">
        <w:rPr>
          <w:rFonts w:ascii="Times New Roman" w:eastAsia="Times New Roman" w:hAnsi="Times New Roman"/>
          <w:sz w:val="24"/>
          <w:szCs w:val="24"/>
          <w:lang w:eastAsia="lv-LV"/>
        </w:rPr>
        <w:t>ksu par Mantu,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3.2</w:t>
      </w:r>
      <w:r w:rsidR="00937555" w:rsidRPr="00937555">
        <w:rPr>
          <w:rFonts w:ascii="Times New Roman" w:hAnsi="Times New Roman" w:cs="Times New Roman"/>
          <w:noProof/>
          <w:sz w:val="24"/>
          <w:szCs w:val="24"/>
        </w:rPr>
        <w:t>. Pircējs aplie</w:t>
      </w:r>
      <w:r w:rsidR="00F61815">
        <w:rPr>
          <w:rFonts w:ascii="Times New Roman" w:hAnsi="Times New Roman" w:cs="Times New Roman"/>
          <w:noProof/>
          <w:sz w:val="24"/>
          <w:szCs w:val="24"/>
        </w:rPr>
        <w:t>cina, ka, noslēdzot šo līgumu, ir iepazinies ar M</w:t>
      </w:r>
      <w:r w:rsidR="00937555"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00937555"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00937555"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00937555" w:rsidRPr="00937555">
        <w:rPr>
          <w:rFonts w:ascii="Times New Roman" w:hAnsi="Times New Roman" w:cs="Times New Roman"/>
          <w:noProof/>
          <w:sz w:val="24"/>
          <w:szCs w:val="24"/>
        </w:rPr>
        <w:t>netiks pasliktināts.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3.3</w:t>
      </w:r>
      <w:r w:rsidR="00937555" w:rsidRPr="00937555">
        <w:rPr>
          <w:rFonts w:ascii="Times New Roman" w:hAnsi="Times New Roman" w:cs="Times New Roman"/>
          <w:noProof/>
          <w:sz w:val="24"/>
          <w:szCs w:val="24"/>
        </w:rPr>
        <w:t>.</w:t>
      </w:r>
      <w:r w:rsidR="00F61815">
        <w:rPr>
          <w:rFonts w:ascii="Times New Roman" w:hAnsi="Times New Roman" w:cs="Times New Roman"/>
          <w:noProof/>
          <w:sz w:val="24"/>
          <w:szCs w:val="24"/>
        </w:rPr>
        <w:t xml:space="preserve"> Pārdevējs neatbild par tādiem M</w:t>
      </w:r>
      <w:r w:rsidR="00937555" w:rsidRPr="00937555">
        <w:rPr>
          <w:rFonts w:ascii="Times New Roman" w:hAnsi="Times New Roman" w:cs="Times New Roman"/>
          <w:noProof/>
          <w:sz w:val="24"/>
          <w:szCs w:val="24"/>
        </w:rPr>
        <w:t>antas trūkumiem, kas ieguvējam bijuši zināmi vai, pievēršot visparastāko uzmanību, nevarētu palikt viņam apslēpti.</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sidR="006B34DE">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sidR="006B34DE">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A37B4C"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FF3620">
        <w:rPr>
          <w:rFonts w:ascii="Times New Roman" w:eastAsia="Times New Roman" w:hAnsi="Times New Roman"/>
          <w:noProof/>
          <w:sz w:val="24"/>
          <w:szCs w:val="24"/>
          <w:lang w:eastAsia="lv-LV"/>
        </w:rPr>
        <w:t>. Līg</w:t>
      </w:r>
      <w:r w:rsidR="006B34DE">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E23A78" w:rsidRPr="00A37B4C" w:rsidRDefault="00A37B4C" w:rsidP="00A37B4C">
      <w:pPr>
        <w:spacing w:after="0"/>
        <w:jc w:val="both"/>
        <w:rPr>
          <w:rFonts w:ascii="Times New Roman" w:hAnsi="Times New Roman" w:cs="Times New Roman"/>
          <w:noProof/>
          <w:sz w:val="24"/>
          <w:szCs w:val="24"/>
        </w:rPr>
      </w:pPr>
      <w:r>
        <w:rPr>
          <w:rFonts w:ascii="Times New Roman" w:hAnsi="Times New Roman" w:cs="Times New Roman"/>
          <w:noProof/>
          <w:sz w:val="24"/>
          <w:szCs w:val="24"/>
        </w:rPr>
        <w:t>6.8</w:t>
      </w:r>
      <w:r w:rsidR="006B34DE" w:rsidRPr="006B34DE">
        <w:rPr>
          <w:rFonts w:ascii="Times New Roman" w:hAnsi="Times New Roman" w:cs="Times New Roman"/>
          <w:noProof/>
          <w:sz w:val="24"/>
          <w:szCs w:val="24"/>
        </w:rPr>
        <w:t>. Nodošanas – pieņemšanas aktu paraksta pašvaldības izpilddirektors, pārvaldes vadītājs vai saimniecības daļas vadītājs, kura pārvaldē atrodas manta.</w:t>
      </w:r>
    </w:p>
    <w:p w:rsidR="00852CC8" w:rsidRDefault="00852CC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1"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bookmarkStart w:id="2" w:name="_GoBack"/>
      <w:bookmarkEnd w:id="2"/>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1"/>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t>1.pielikums pirkuma līgumam</w:t>
      </w: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sidR="00EA2413">
        <w:rPr>
          <w:rFonts w:ascii="Times New Roman" w:hAnsi="Times New Roman" w:cs="Times New Roman"/>
          <w:sz w:val="24"/>
          <w:szCs w:val="24"/>
        </w:rPr>
        <w:t xml:space="preserve"> </w:t>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t xml:space="preserve"> 2021</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sidR="00EA2413">
        <w:rPr>
          <w:rFonts w:ascii="Times New Roman" w:hAnsi="Times New Roman" w:cs="Times New Roman"/>
          <w:sz w:val="24"/>
          <w:szCs w:val="24"/>
          <w:lang w:eastAsia="ru-RU"/>
        </w:rPr>
        <w:t>saskaņā ar 2021</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041862" w:rsidP="006B34DE">
      <w:pPr>
        <w:spacing w:after="0" w:line="240" w:lineRule="auto"/>
        <w:ind w:right="-1050"/>
        <w:rPr>
          <w:rFonts w:ascii="Times New Roman" w:hAnsi="Times New Roman" w:cs="Times New Roman"/>
          <w:b/>
          <w:sz w:val="24"/>
          <w:szCs w:val="24"/>
        </w:rPr>
      </w:pPr>
      <w:r>
        <w:rPr>
          <w:rFonts w:ascii="Times New Roman" w:hAnsi="Times New Roman" w:cs="Times New Roman"/>
          <w:b/>
          <w:sz w:val="24"/>
          <w:szCs w:val="24"/>
        </w:rPr>
        <w:t>Kases aparātu</w:t>
      </w:r>
      <w:r w:rsidR="00EA2413">
        <w:rPr>
          <w:rFonts w:ascii="Times New Roman" w:hAnsi="Times New Roman" w:cs="Times New Roman"/>
          <w:b/>
          <w:sz w:val="24"/>
          <w:szCs w:val="24"/>
        </w:rPr>
        <w:t xml:space="preserve"> CHD 3050</w:t>
      </w:r>
      <w:r w:rsidR="002A07D6">
        <w:rPr>
          <w:rFonts w:ascii="Times New Roman" w:hAnsi="Times New Roman" w:cs="Times New Roman"/>
          <w:b/>
          <w:sz w:val="24"/>
          <w:szCs w:val="24"/>
        </w:rPr>
        <w:t xml:space="preserve"> EKA</w:t>
      </w:r>
      <w:r w:rsidR="00EA2413">
        <w:rPr>
          <w:rFonts w:ascii="Times New Roman" w:hAnsi="Times New Roman" w:cs="Times New Roman"/>
          <w:b/>
          <w:sz w:val="24"/>
          <w:szCs w:val="24"/>
        </w:rPr>
        <w:t xml:space="preserve"> ar naudas lādi</w:t>
      </w:r>
      <w:r w:rsidR="002A07D6">
        <w:rPr>
          <w:rFonts w:ascii="Times New Roman" w:hAnsi="Times New Roman" w:cs="Times New Roman"/>
          <w:b/>
          <w:sz w:val="24"/>
          <w:szCs w:val="24"/>
        </w:rPr>
        <w:t xml:space="preserve"> LGS-CHD 3000</w:t>
      </w:r>
    </w:p>
    <w:p w:rsidR="00EA2413" w:rsidRDefault="00EA2413"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w:t>
      </w:r>
      <w:r w:rsidR="00041862">
        <w:rPr>
          <w:rFonts w:ascii="Times New Roman" w:hAnsi="Times New Roman" w:cs="Times New Roman"/>
          <w:sz w:val="24"/>
          <w:szCs w:val="24"/>
        </w:rPr>
        <w:t xml:space="preserve"> akts</w:t>
      </w:r>
      <w:r w:rsidRPr="006B34DE">
        <w:rPr>
          <w:rFonts w:ascii="Times New Roman" w:hAnsi="Times New Roman" w:cs="Times New Roman"/>
          <w:sz w:val="24"/>
          <w:szCs w:val="24"/>
        </w:rPr>
        <w:t xml:space="preserve">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406"/>
        <w:gridCol w:w="3275"/>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w:t>
      </w:r>
      <w:r w:rsidR="00280976">
        <w:rPr>
          <w:rFonts w:ascii="Times New Roman" w:hAnsi="Times New Roman" w:cs="Times New Roman"/>
          <w:sz w:val="24"/>
          <w:szCs w:val="24"/>
        </w:rPr>
        <w:t xml:space="preserve">  </w:t>
      </w:r>
      <w:r>
        <w:rPr>
          <w:rFonts w:ascii="Times New Roman" w:hAnsi="Times New Roman" w:cs="Times New Roman"/>
          <w:sz w:val="24"/>
          <w:szCs w:val="24"/>
        </w:rPr>
        <w:t>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r>
      <w:r w:rsidR="00EA2413">
        <w:rPr>
          <w:rFonts w:ascii="Times New Roman" w:hAnsi="Times New Roman" w:cs="Times New Roman"/>
          <w:sz w:val="24"/>
          <w:szCs w:val="24"/>
        </w:rPr>
        <w:t xml:space="preserve">          </w:t>
      </w:r>
      <w:r w:rsidRPr="006B34DE">
        <w:rPr>
          <w:rFonts w:ascii="Times New Roman" w:hAnsi="Times New Roman" w:cs="Times New Roman"/>
          <w:sz w:val="24"/>
          <w:szCs w:val="24"/>
        </w:rPr>
        <w:t>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00EA2413">
        <w:rPr>
          <w:rFonts w:ascii="Times New Roman" w:hAnsi="Times New Roman" w:cs="Times New Roman"/>
          <w:i/>
          <w:sz w:val="24"/>
          <w:szCs w:val="24"/>
        </w:rPr>
        <w:t xml:space="preserve">          </w:t>
      </w:r>
      <w:r w:rsidRPr="006B34DE">
        <w:rPr>
          <w:rFonts w:ascii="Times New Roman" w:hAnsi="Times New Roman" w:cs="Times New Roman"/>
          <w:i/>
          <w:sz w:val="24"/>
          <w:szCs w:val="24"/>
        </w:rPr>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r w:rsidR="00783AA3">
        <w:rPr>
          <w:rFonts w:ascii="Times New Roman" w:eastAsia="Times New Roman" w:hAnsi="Times New Roman"/>
          <w:i/>
          <w:sz w:val="20"/>
          <w:szCs w:val="20"/>
          <w:lang w:eastAsia="lv-LV"/>
        </w:rPr>
        <w:t xml:space="preserve"> </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sidRPr="00F16446">
        <w:rPr>
          <w:rFonts w:ascii="Times New Roman" w:hAnsi="Times New Roman" w:cs="Times New Roman"/>
          <w:i/>
          <w:sz w:val="20"/>
          <w:szCs w:val="20"/>
        </w:rPr>
        <w:t>kases aparāta CHD 3050</w:t>
      </w:r>
      <w:r w:rsidR="002A07D6">
        <w:rPr>
          <w:rFonts w:ascii="Times New Roman" w:hAnsi="Times New Roman" w:cs="Times New Roman"/>
          <w:i/>
          <w:sz w:val="20"/>
          <w:szCs w:val="20"/>
        </w:rPr>
        <w:t xml:space="preserve"> EKA</w:t>
      </w:r>
      <w:r>
        <w:rPr>
          <w:rFonts w:ascii="Times New Roman" w:hAnsi="Times New Roman" w:cs="Times New Roman"/>
          <w:i/>
          <w:sz w:val="20"/>
          <w:szCs w:val="20"/>
        </w:rPr>
        <w:t xml:space="preserve">, </w:t>
      </w:r>
      <w:r w:rsidR="00CC40DE">
        <w:rPr>
          <w:rFonts w:ascii="Times New Roman" w:hAnsi="Times New Roman" w:cs="Times New Roman"/>
          <w:i/>
          <w:sz w:val="20"/>
          <w:szCs w:val="20"/>
        </w:rPr>
        <w:t>inventāra Nr. 1239-8647</w:t>
      </w:r>
    </w:p>
    <w:p w:rsidR="00783AA3"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280976" w:rsidRPr="00F14492" w:rsidRDefault="00280976" w:rsidP="00280976">
      <w:pPr>
        <w:spacing w:after="0" w:line="240" w:lineRule="auto"/>
        <w:ind w:right="-425"/>
        <w:rPr>
          <w:rFonts w:ascii="Times New Roman" w:eastAsia="Times New Roman" w:hAnsi="Times New Roman"/>
          <w:i/>
          <w:sz w:val="20"/>
          <w:szCs w:val="20"/>
          <w:lang w:eastAsia="lv-LV"/>
        </w:rPr>
      </w:pP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280976"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2021</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280976" w:rsidRPr="00280976"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2021</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440FA0">
        <w:rPr>
          <w:rFonts w:ascii="Times New Roman" w:eastAsia="Times New Roman" w:hAnsi="Times New Roman"/>
          <w:sz w:val="24"/>
          <w:szCs w:val="24"/>
          <w:lang w:eastAsia="lv-LV"/>
        </w:rPr>
        <w:t xml:space="preserve"> mantu</w:t>
      </w:r>
      <w:r w:rsidR="00440FA0" w:rsidRPr="00280976">
        <w:rPr>
          <w:rFonts w:ascii="Times New Roman" w:eastAsia="Times New Roman" w:hAnsi="Times New Roman"/>
          <w:sz w:val="24"/>
          <w:szCs w:val="24"/>
          <w:lang w:eastAsia="lv-LV"/>
        </w:rPr>
        <w:t>,</w:t>
      </w:r>
      <w:r w:rsidRPr="00280976">
        <w:rPr>
          <w:rFonts w:ascii="Times New Roman" w:eastAsia="Times New Roman" w:hAnsi="Times New Roman"/>
          <w:sz w:val="24"/>
          <w:szCs w:val="24"/>
          <w:lang w:eastAsia="lv-LV"/>
        </w:rPr>
        <w:t xml:space="preserve"> </w:t>
      </w:r>
      <w:r w:rsidRPr="00280976">
        <w:rPr>
          <w:rFonts w:ascii="Times New Roman" w:hAnsi="Times New Roman" w:cs="Times New Roman"/>
          <w:sz w:val="24"/>
          <w:szCs w:val="24"/>
        </w:rPr>
        <w:t>kases a</w:t>
      </w:r>
      <w:r w:rsidR="00041862">
        <w:rPr>
          <w:rFonts w:ascii="Times New Roman" w:hAnsi="Times New Roman" w:cs="Times New Roman"/>
          <w:sz w:val="24"/>
          <w:szCs w:val="24"/>
        </w:rPr>
        <w:t>parātu</w:t>
      </w:r>
      <w:r w:rsidRPr="00280976">
        <w:rPr>
          <w:rFonts w:ascii="Times New Roman" w:hAnsi="Times New Roman" w:cs="Times New Roman"/>
          <w:sz w:val="24"/>
          <w:szCs w:val="24"/>
        </w:rPr>
        <w:t xml:space="preserve"> CHD 3050</w:t>
      </w:r>
      <w:r w:rsidR="002A07D6">
        <w:rPr>
          <w:rFonts w:ascii="Times New Roman" w:hAnsi="Times New Roman" w:cs="Times New Roman"/>
          <w:sz w:val="24"/>
          <w:szCs w:val="24"/>
        </w:rPr>
        <w:t xml:space="preserve"> EKA, ar naudas lādi LGS-CHD 3000</w:t>
      </w:r>
      <w:r>
        <w:rPr>
          <w:rFonts w:ascii="Times New Roman" w:hAnsi="Times New Roman" w:cs="Times New Roman"/>
          <w:sz w:val="24"/>
          <w:szCs w:val="24"/>
        </w:rPr>
        <w:t>.</w:t>
      </w:r>
      <w:r w:rsidRPr="00280976">
        <w:rPr>
          <w:rFonts w:ascii="Times New Roman" w:hAnsi="Times New Roman" w:cs="Times New Roman"/>
          <w:sz w:val="24"/>
          <w:szCs w:val="24"/>
        </w:rPr>
        <w:t xml:space="preserve"> </w:t>
      </w:r>
      <w:r w:rsidR="00440FA0" w:rsidRPr="00280976">
        <w:rPr>
          <w:rFonts w:ascii="Times New Roman" w:eastAsia="Times New Roman" w:hAnsi="Times New Roman"/>
          <w:sz w:val="24"/>
          <w:szCs w:val="24"/>
          <w:lang w:eastAsia="lv-LV"/>
        </w:rPr>
        <w:t xml:space="preserve">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280976">
        <w:rPr>
          <w:rFonts w:ascii="Times New Roman" w:hAnsi="Times New Roman"/>
          <w:b/>
          <w:sz w:val="24"/>
          <w:szCs w:val="24"/>
          <w:lang w:eastAsia="lv-LV"/>
        </w:rPr>
        <w:t>12,0</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280976">
        <w:rPr>
          <w:rFonts w:ascii="Times New Roman" w:eastAsia="Times New Roman" w:hAnsi="Times New Roman"/>
          <w:sz w:val="24"/>
          <w:szCs w:val="24"/>
          <w:lang w:eastAsia="lv-LV"/>
        </w:rPr>
        <w:t>divpadsmit</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280976">
        <w:rPr>
          <w:rFonts w:ascii="Times New Roman" w:eastAsia="Times New Roman" w:hAnsi="Times New Roman"/>
          <w:sz w:val="24"/>
          <w:szCs w:val="24"/>
          <w:lang w:eastAsia="lv-LV"/>
        </w:rPr>
        <w:t>0</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2021</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AA" w:rsidRDefault="00AC44AA" w:rsidP="00AB6125">
      <w:pPr>
        <w:spacing w:after="0" w:line="240" w:lineRule="auto"/>
      </w:pPr>
      <w:r>
        <w:separator/>
      </w:r>
    </w:p>
  </w:endnote>
  <w:endnote w:type="continuationSeparator" w:id="0">
    <w:p w:rsidR="00AC44AA" w:rsidRDefault="00AC44AA"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AA" w:rsidRDefault="00AC44AA" w:rsidP="00AB6125">
      <w:pPr>
        <w:spacing w:after="0" w:line="240" w:lineRule="auto"/>
      </w:pPr>
      <w:r>
        <w:separator/>
      </w:r>
    </w:p>
  </w:footnote>
  <w:footnote w:type="continuationSeparator" w:id="0">
    <w:p w:rsidR="00AC44AA" w:rsidRDefault="00AC44AA" w:rsidP="00AB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3AC4"/>
    <w:rsid w:val="00014BAE"/>
    <w:rsid w:val="0002077A"/>
    <w:rsid w:val="00024B74"/>
    <w:rsid w:val="0002630C"/>
    <w:rsid w:val="000313A1"/>
    <w:rsid w:val="00033A07"/>
    <w:rsid w:val="000407E9"/>
    <w:rsid w:val="00041862"/>
    <w:rsid w:val="0004673D"/>
    <w:rsid w:val="000545F9"/>
    <w:rsid w:val="000563BC"/>
    <w:rsid w:val="00057615"/>
    <w:rsid w:val="00063A6D"/>
    <w:rsid w:val="00074BE6"/>
    <w:rsid w:val="00080167"/>
    <w:rsid w:val="00080C5F"/>
    <w:rsid w:val="00082BB7"/>
    <w:rsid w:val="000966F9"/>
    <w:rsid w:val="000972EF"/>
    <w:rsid w:val="000A1681"/>
    <w:rsid w:val="000A2C26"/>
    <w:rsid w:val="000A39E8"/>
    <w:rsid w:val="000A7430"/>
    <w:rsid w:val="000B6349"/>
    <w:rsid w:val="000C1254"/>
    <w:rsid w:val="000C3D96"/>
    <w:rsid w:val="000D58EB"/>
    <w:rsid w:val="000F2023"/>
    <w:rsid w:val="000F43F4"/>
    <w:rsid w:val="001068E0"/>
    <w:rsid w:val="00110A29"/>
    <w:rsid w:val="00121B87"/>
    <w:rsid w:val="00123B9A"/>
    <w:rsid w:val="00130DA7"/>
    <w:rsid w:val="00135800"/>
    <w:rsid w:val="00137A54"/>
    <w:rsid w:val="001436BD"/>
    <w:rsid w:val="0014469B"/>
    <w:rsid w:val="001461EC"/>
    <w:rsid w:val="00153283"/>
    <w:rsid w:val="00184F50"/>
    <w:rsid w:val="00193DE9"/>
    <w:rsid w:val="001A4406"/>
    <w:rsid w:val="001A47FF"/>
    <w:rsid w:val="001B66CD"/>
    <w:rsid w:val="001D2F73"/>
    <w:rsid w:val="001F0EBC"/>
    <w:rsid w:val="0021062F"/>
    <w:rsid w:val="002250CF"/>
    <w:rsid w:val="002320AD"/>
    <w:rsid w:val="00232403"/>
    <w:rsid w:val="00235308"/>
    <w:rsid w:val="00236A24"/>
    <w:rsid w:val="00251002"/>
    <w:rsid w:val="002601EC"/>
    <w:rsid w:val="00265191"/>
    <w:rsid w:val="00267E6A"/>
    <w:rsid w:val="00275094"/>
    <w:rsid w:val="00280976"/>
    <w:rsid w:val="00281A7C"/>
    <w:rsid w:val="00284B80"/>
    <w:rsid w:val="002913F5"/>
    <w:rsid w:val="00291FE8"/>
    <w:rsid w:val="002962C7"/>
    <w:rsid w:val="002A07D6"/>
    <w:rsid w:val="002A2D47"/>
    <w:rsid w:val="002B55D6"/>
    <w:rsid w:val="002E505E"/>
    <w:rsid w:val="00307EFA"/>
    <w:rsid w:val="00310A12"/>
    <w:rsid w:val="0032216A"/>
    <w:rsid w:val="003413AB"/>
    <w:rsid w:val="003413C0"/>
    <w:rsid w:val="00341EAD"/>
    <w:rsid w:val="00344146"/>
    <w:rsid w:val="00371237"/>
    <w:rsid w:val="003747D1"/>
    <w:rsid w:val="00374EF5"/>
    <w:rsid w:val="00377EAF"/>
    <w:rsid w:val="003832C9"/>
    <w:rsid w:val="0039523C"/>
    <w:rsid w:val="00395E9F"/>
    <w:rsid w:val="00397304"/>
    <w:rsid w:val="00397B08"/>
    <w:rsid w:val="003A5EA5"/>
    <w:rsid w:val="003B7BAA"/>
    <w:rsid w:val="003D3048"/>
    <w:rsid w:val="003D4CF0"/>
    <w:rsid w:val="003E741E"/>
    <w:rsid w:val="00402E82"/>
    <w:rsid w:val="00406D9F"/>
    <w:rsid w:val="00416CEC"/>
    <w:rsid w:val="00440FA0"/>
    <w:rsid w:val="0044755F"/>
    <w:rsid w:val="00461A2A"/>
    <w:rsid w:val="00465A34"/>
    <w:rsid w:val="00470088"/>
    <w:rsid w:val="00470F6F"/>
    <w:rsid w:val="00477D26"/>
    <w:rsid w:val="0049085D"/>
    <w:rsid w:val="00496006"/>
    <w:rsid w:val="004A3BA1"/>
    <w:rsid w:val="004B6CE8"/>
    <w:rsid w:val="004C738B"/>
    <w:rsid w:val="004D5F21"/>
    <w:rsid w:val="004D6988"/>
    <w:rsid w:val="004F6508"/>
    <w:rsid w:val="00504AE0"/>
    <w:rsid w:val="00523767"/>
    <w:rsid w:val="00523A53"/>
    <w:rsid w:val="00533B9C"/>
    <w:rsid w:val="00551BF1"/>
    <w:rsid w:val="00552659"/>
    <w:rsid w:val="0055785B"/>
    <w:rsid w:val="0056634F"/>
    <w:rsid w:val="00566A1E"/>
    <w:rsid w:val="005737E3"/>
    <w:rsid w:val="0057754A"/>
    <w:rsid w:val="005809E2"/>
    <w:rsid w:val="00582DF6"/>
    <w:rsid w:val="005A5355"/>
    <w:rsid w:val="005A6B68"/>
    <w:rsid w:val="005B2E05"/>
    <w:rsid w:val="005C77A2"/>
    <w:rsid w:val="005C7C89"/>
    <w:rsid w:val="005D3E84"/>
    <w:rsid w:val="005E2B62"/>
    <w:rsid w:val="005F3BF3"/>
    <w:rsid w:val="005F4273"/>
    <w:rsid w:val="005F431E"/>
    <w:rsid w:val="005F6EE6"/>
    <w:rsid w:val="006028BA"/>
    <w:rsid w:val="006119FE"/>
    <w:rsid w:val="006120A6"/>
    <w:rsid w:val="006213EB"/>
    <w:rsid w:val="00622D3A"/>
    <w:rsid w:val="0062474C"/>
    <w:rsid w:val="006300C4"/>
    <w:rsid w:val="0065248F"/>
    <w:rsid w:val="00655857"/>
    <w:rsid w:val="00655D16"/>
    <w:rsid w:val="00656B26"/>
    <w:rsid w:val="00660393"/>
    <w:rsid w:val="0067195F"/>
    <w:rsid w:val="0067217A"/>
    <w:rsid w:val="00681E3C"/>
    <w:rsid w:val="006835C8"/>
    <w:rsid w:val="00685F30"/>
    <w:rsid w:val="00694FA0"/>
    <w:rsid w:val="006A3CF6"/>
    <w:rsid w:val="006B34DE"/>
    <w:rsid w:val="006C0635"/>
    <w:rsid w:val="006C72D1"/>
    <w:rsid w:val="006C7DEB"/>
    <w:rsid w:val="006D0437"/>
    <w:rsid w:val="006D443C"/>
    <w:rsid w:val="006D5755"/>
    <w:rsid w:val="006D6189"/>
    <w:rsid w:val="006E6AFC"/>
    <w:rsid w:val="006F336C"/>
    <w:rsid w:val="006F37B4"/>
    <w:rsid w:val="006F7EBA"/>
    <w:rsid w:val="00704441"/>
    <w:rsid w:val="00704525"/>
    <w:rsid w:val="00724880"/>
    <w:rsid w:val="00730FC9"/>
    <w:rsid w:val="007314FB"/>
    <w:rsid w:val="007443CF"/>
    <w:rsid w:val="00750F86"/>
    <w:rsid w:val="00765294"/>
    <w:rsid w:val="0077263A"/>
    <w:rsid w:val="0077700B"/>
    <w:rsid w:val="00782329"/>
    <w:rsid w:val="00783AA3"/>
    <w:rsid w:val="007A1C8E"/>
    <w:rsid w:val="007A3171"/>
    <w:rsid w:val="007B7291"/>
    <w:rsid w:val="007C28F1"/>
    <w:rsid w:val="007C3DBE"/>
    <w:rsid w:val="007D4627"/>
    <w:rsid w:val="007D4F8F"/>
    <w:rsid w:val="007D7602"/>
    <w:rsid w:val="007E0FFC"/>
    <w:rsid w:val="007F6C4E"/>
    <w:rsid w:val="00805E03"/>
    <w:rsid w:val="008145AA"/>
    <w:rsid w:val="008235D7"/>
    <w:rsid w:val="00840E49"/>
    <w:rsid w:val="00847EB7"/>
    <w:rsid w:val="00852CC8"/>
    <w:rsid w:val="00853851"/>
    <w:rsid w:val="008554C6"/>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F4EBB"/>
    <w:rsid w:val="008F745A"/>
    <w:rsid w:val="00924C34"/>
    <w:rsid w:val="009256C7"/>
    <w:rsid w:val="009306D5"/>
    <w:rsid w:val="009316F4"/>
    <w:rsid w:val="00936555"/>
    <w:rsid w:val="00937555"/>
    <w:rsid w:val="00942FD9"/>
    <w:rsid w:val="00954B69"/>
    <w:rsid w:val="009656DB"/>
    <w:rsid w:val="0098325A"/>
    <w:rsid w:val="009835BC"/>
    <w:rsid w:val="009839AB"/>
    <w:rsid w:val="0099274C"/>
    <w:rsid w:val="009944E6"/>
    <w:rsid w:val="00994C99"/>
    <w:rsid w:val="00997C55"/>
    <w:rsid w:val="009A023E"/>
    <w:rsid w:val="009B4E16"/>
    <w:rsid w:val="009C6E12"/>
    <w:rsid w:val="009C7466"/>
    <w:rsid w:val="009D61AF"/>
    <w:rsid w:val="009F5061"/>
    <w:rsid w:val="00A071B9"/>
    <w:rsid w:val="00A16247"/>
    <w:rsid w:val="00A37B4C"/>
    <w:rsid w:val="00A4543E"/>
    <w:rsid w:val="00A5274A"/>
    <w:rsid w:val="00A54087"/>
    <w:rsid w:val="00A54F36"/>
    <w:rsid w:val="00A648A7"/>
    <w:rsid w:val="00A72054"/>
    <w:rsid w:val="00A7377E"/>
    <w:rsid w:val="00AA3982"/>
    <w:rsid w:val="00AA6CF3"/>
    <w:rsid w:val="00AB27B2"/>
    <w:rsid w:val="00AB46CC"/>
    <w:rsid w:val="00AB6125"/>
    <w:rsid w:val="00AC44AA"/>
    <w:rsid w:val="00AD7DEE"/>
    <w:rsid w:val="00AF7918"/>
    <w:rsid w:val="00B04D26"/>
    <w:rsid w:val="00B07D0C"/>
    <w:rsid w:val="00B5353D"/>
    <w:rsid w:val="00B60E34"/>
    <w:rsid w:val="00B619E1"/>
    <w:rsid w:val="00B61B5F"/>
    <w:rsid w:val="00B664EC"/>
    <w:rsid w:val="00BB494F"/>
    <w:rsid w:val="00BC17DD"/>
    <w:rsid w:val="00BC63B8"/>
    <w:rsid w:val="00BC6B3D"/>
    <w:rsid w:val="00BD10D2"/>
    <w:rsid w:val="00BE3948"/>
    <w:rsid w:val="00BE7EDE"/>
    <w:rsid w:val="00BF385D"/>
    <w:rsid w:val="00BF56BD"/>
    <w:rsid w:val="00BF7828"/>
    <w:rsid w:val="00C12683"/>
    <w:rsid w:val="00C219C9"/>
    <w:rsid w:val="00C24683"/>
    <w:rsid w:val="00C27804"/>
    <w:rsid w:val="00C40915"/>
    <w:rsid w:val="00C4292F"/>
    <w:rsid w:val="00C47C63"/>
    <w:rsid w:val="00C91334"/>
    <w:rsid w:val="00C934EF"/>
    <w:rsid w:val="00CA657D"/>
    <w:rsid w:val="00CB092A"/>
    <w:rsid w:val="00CB1DFA"/>
    <w:rsid w:val="00CC2B66"/>
    <w:rsid w:val="00CC40DE"/>
    <w:rsid w:val="00CD0198"/>
    <w:rsid w:val="00CD3200"/>
    <w:rsid w:val="00CE108B"/>
    <w:rsid w:val="00CE5393"/>
    <w:rsid w:val="00CF5FF2"/>
    <w:rsid w:val="00CF6717"/>
    <w:rsid w:val="00D00FBB"/>
    <w:rsid w:val="00D07423"/>
    <w:rsid w:val="00D11BD6"/>
    <w:rsid w:val="00D21B5E"/>
    <w:rsid w:val="00D2209A"/>
    <w:rsid w:val="00D4495B"/>
    <w:rsid w:val="00D45349"/>
    <w:rsid w:val="00D45ABE"/>
    <w:rsid w:val="00D50D14"/>
    <w:rsid w:val="00D51CDF"/>
    <w:rsid w:val="00D56DF7"/>
    <w:rsid w:val="00D71476"/>
    <w:rsid w:val="00D81A4D"/>
    <w:rsid w:val="00D84415"/>
    <w:rsid w:val="00D91918"/>
    <w:rsid w:val="00D934B2"/>
    <w:rsid w:val="00D93E7D"/>
    <w:rsid w:val="00DB689A"/>
    <w:rsid w:val="00DB6ACF"/>
    <w:rsid w:val="00DD5816"/>
    <w:rsid w:val="00DD77B8"/>
    <w:rsid w:val="00DE19E9"/>
    <w:rsid w:val="00DF7DC2"/>
    <w:rsid w:val="00E07A01"/>
    <w:rsid w:val="00E10565"/>
    <w:rsid w:val="00E14C49"/>
    <w:rsid w:val="00E23A78"/>
    <w:rsid w:val="00E362F6"/>
    <w:rsid w:val="00E51343"/>
    <w:rsid w:val="00E514C7"/>
    <w:rsid w:val="00E57F6A"/>
    <w:rsid w:val="00E60F11"/>
    <w:rsid w:val="00E6379F"/>
    <w:rsid w:val="00E6699B"/>
    <w:rsid w:val="00E7532D"/>
    <w:rsid w:val="00E77477"/>
    <w:rsid w:val="00E87447"/>
    <w:rsid w:val="00E90DB0"/>
    <w:rsid w:val="00E958E0"/>
    <w:rsid w:val="00EA2413"/>
    <w:rsid w:val="00EA44BC"/>
    <w:rsid w:val="00EA4B95"/>
    <w:rsid w:val="00EA691B"/>
    <w:rsid w:val="00EB4D89"/>
    <w:rsid w:val="00EC406E"/>
    <w:rsid w:val="00ED0018"/>
    <w:rsid w:val="00ED5226"/>
    <w:rsid w:val="00ED5C06"/>
    <w:rsid w:val="00ED7285"/>
    <w:rsid w:val="00EE48D1"/>
    <w:rsid w:val="00EF4782"/>
    <w:rsid w:val="00F0187B"/>
    <w:rsid w:val="00F16446"/>
    <w:rsid w:val="00F25A92"/>
    <w:rsid w:val="00F26424"/>
    <w:rsid w:val="00F32973"/>
    <w:rsid w:val="00F36313"/>
    <w:rsid w:val="00F43C26"/>
    <w:rsid w:val="00F61815"/>
    <w:rsid w:val="00F75CDC"/>
    <w:rsid w:val="00F873C1"/>
    <w:rsid w:val="00F9262D"/>
    <w:rsid w:val="00F92C08"/>
    <w:rsid w:val="00FB0FDC"/>
    <w:rsid w:val="00FC7630"/>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5C52"/>
  <w15:docId w15:val="{6BE05A49-6127-45BB-BDAE-5EF50843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8176-D517-4B87-8A31-1592F320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16801</Words>
  <Characters>9578</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2020-12-28T14:14:00Z</cp:lastPrinted>
  <dcterms:created xsi:type="dcterms:W3CDTF">2021-01-25T07:01:00Z</dcterms:created>
  <dcterms:modified xsi:type="dcterms:W3CDTF">2021-01-25T08:43:00Z</dcterms:modified>
</cp:coreProperties>
</file>